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45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9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DA4584" wp14:editId="6EA9A694">
            <wp:extent cx="6766560" cy="1463040"/>
            <wp:effectExtent l="0" t="0" r="0" b="3810"/>
            <wp:docPr id="1" name="Picture 1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DF8" w:rsidRPr="003F4DF8" w:rsidRDefault="003F4DF8" w:rsidP="003F4DF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F4DF8">
        <w:rPr>
          <w:rFonts w:ascii="Times New Roman" w:hAnsi="Times New Roman" w:cs="Times New Roman"/>
          <w:b/>
          <w:sz w:val="24"/>
          <w:szCs w:val="24"/>
          <w:lang w:val="ro-RO"/>
        </w:rPr>
        <w:t>Tematica lucrărilor de disertație propuse de mediul social-economic</w:t>
      </w:r>
    </w:p>
    <w:p w:rsidR="003F4DF8" w:rsidRPr="003F4DF8" w:rsidRDefault="003F4DF8" w:rsidP="003F4DF8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DF8">
        <w:rPr>
          <w:rFonts w:ascii="Times New Roman" w:hAnsi="Times New Roman" w:cs="Times New Roman"/>
          <w:sz w:val="24"/>
          <w:szCs w:val="24"/>
          <w:lang w:val="ro-RO"/>
        </w:rPr>
        <w:t>Tematica lucrărilor corespund cerințelor mediului economic și sunt de folos în contextul locului de muncă</w:t>
      </w:r>
    </w:p>
    <w:p w:rsidR="003F4DF8" w:rsidRPr="003F4DF8" w:rsidRDefault="003F4DF8" w:rsidP="003F4DF8">
      <w:pPr>
        <w:pStyle w:val="Heading1"/>
        <w:ind w:left="4956" w:firstLine="708"/>
        <w:rPr>
          <w:szCs w:val="24"/>
        </w:rPr>
      </w:pPr>
    </w:p>
    <w:p w:rsidR="003F4DF8" w:rsidRPr="003F4DF8" w:rsidRDefault="003F4DF8" w:rsidP="003F4DF8">
      <w:pPr>
        <w:pStyle w:val="Heading1"/>
        <w:ind w:left="4956" w:firstLine="708"/>
        <w:rPr>
          <w:szCs w:val="24"/>
        </w:rPr>
      </w:pPr>
      <w:r w:rsidRPr="003F4DF8">
        <w:rPr>
          <w:szCs w:val="24"/>
        </w:rPr>
        <w:t>TABEL NOMINAL</w:t>
      </w:r>
    </w:p>
    <w:p w:rsidR="003F4DF8" w:rsidRPr="003F4DF8" w:rsidRDefault="003F4DF8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932" w:rsidRPr="003F4DF8" w:rsidRDefault="00262932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F4DF8">
        <w:rPr>
          <w:rFonts w:ascii="Times New Roman" w:hAnsi="Times New Roman" w:cs="Times New Roman"/>
          <w:b/>
          <w:sz w:val="24"/>
          <w:szCs w:val="24"/>
        </w:rPr>
        <w:t>AL LUCR</w:t>
      </w:r>
      <w:r w:rsidRPr="003F4DF8">
        <w:rPr>
          <w:rFonts w:ascii="Times New Roman" w:hAnsi="Times New Roman" w:cs="Times New Roman"/>
          <w:b/>
          <w:sz w:val="24"/>
          <w:szCs w:val="24"/>
          <w:lang w:val="ro-RO"/>
        </w:rPr>
        <w:t>ĂRILOR DE DISERTAȚIE PENTRU PROGRAMUL DE MASTERAT TRADUCERE ȘI INTERPRETARIAT</w:t>
      </w:r>
    </w:p>
    <w:p w:rsidR="00262932" w:rsidRPr="003F4DF8" w:rsidRDefault="00262932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F4DF8">
        <w:rPr>
          <w:rFonts w:ascii="Times New Roman" w:hAnsi="Times New Roman" w:cs="Times New Roman"/>
          <w:b/>
          <w:sz w:val="24"/>
          <w:szCs w:val="24"/>
          <w:lang w:val="ro-RO"/>
        </w:rPr>
        <w:t>DIN PERIOADA 2021-2024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2021-2022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3F4DF8" w:rsidRPr="003F4DF8" w:rsidRDefault="003F4DF8" w:rsidP="003F4DF8">
            <w:pPr>
              <w:ind w:left="-1950" w:right="-108" w:firstLine="184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4DF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Tema propusă de mediul </w:t>
            </w:r>
          </w:p>
          <w:p w:rsidR="00262932" w:rsidRPr="003A3A56" w:rsidRDefault="003F4DF8" w:rsidP="003F4D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F4DF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social-economic (beneficiari)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Balla Fruzsina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Humour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Romanian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Subtitles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Avengers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Movie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0E54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umorului în subtitr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maghiară și română a filmului Răzbunătorii</w:t>
            </w:r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Ivett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Analysis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Game of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Thrones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Series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 analiză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serialul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Urzarea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Tronului</w:t>
            </w:r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Daru Krisztina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Examining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Audiovisual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Adaptation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Peter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Rabbit</w:t>
            </w:r>
            <w:proofErr w:type="spellEnd"/>
            <w:r w:rsidR="0046157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Examinarea strategiilor de traducere în adaptarea audiovizuală a filmului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Peter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Rabbit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copii,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Huszár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Elisabeta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Technologies and Humor </w:t>
            </w:r>
            <w:proofErr w:type="spellStart"/>
            <w:proofErr w:type="gram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the</w:t>
            </w:r>
            <w:proofErr w:type="spellEnd"/>
            <w:proofErr w:type="gram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Dubbed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Version of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Big Bang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Theory</w:t>
            </w:r>
            <w:proofErr w:type="spellEnd"/>
            <w:r w:rsidR="0046157F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Tehnologii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umor în versiunea dublată în limba maghiară la serialului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The Big Bang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Theory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Merai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Annabella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reália alapú humor fordítása a Brooklyn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Nine-Nine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című vígjátéksorozatban</w:t>
            </w:r>
            <w:r w:rsidR="004615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umorului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bazat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elemente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culturale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specifice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serialul de comedia Brooklyn Nine-Nine</w:t>
            </w:r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Țicală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Izabela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Challenges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Solutions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Christian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Hymn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Song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Provocări și soluții în traducerea imnurilor și cântecelor creștine</w:t>
            </w:r>
          </w:p>
        </w:tc>
        <w:tc>
          <w:tcPr>
            <w:tcW w:w="3145" w:type="dxa"/>
            <w:vAlign w:val="center"/>
          </w:tcPr>
          <w:p w:rsidR="00262932" w:rsidRPr="00262932" w:rsidRDefault="000E54A1" w:rsidP="000E54A1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Eparhia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Vincze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ófia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Gilmore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Girls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: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American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Cultrural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References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Gilmore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Girls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: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Referențe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culturale americane în traducerea maghiară</w:t>
            </w:r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2022-2023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3F4DF8" w:rsidRPr="00396B03" w:rsidRDefault="003F4DF8" w:rsidP="003F4DF8">
            <w:pPr>
              <w:ind w:left="-1950" w:right="-108" w:firstLine="184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96B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Tema propusă de mediul </w:t>
            </w:r>
          </w:p>
          <w:p w:rsidR="00262932" w:rsidRPr="003A3A56" w:rsidRDefault="003F4DF8" w:rsidP="003F4D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6B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social-economic (beneficiari)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Erőss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Anna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Jurnalul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Csáth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din 1912-13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comparative</w:t>
            </w:r>
            <w:r w:rsidR="004615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Csáth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1912-13-as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naplója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annak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angol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fordítása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Összehasonlító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elemzés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0E54A1" w:rsidP="000E54A1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culturale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literare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cărți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Karmazsin István Benjámin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termenilor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științifico-fantastici în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neuromancerului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lui William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Gobson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Science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fiction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William Gibson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’s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Neuromancer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0E54A1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Kovács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Zoltán</w:t>
            </w:r>
            <w:proofErr w:type="spellEnd"/>
          </w:p>
        </w:tc>
        <w:tc>
          <w:tcPr>
            <w:tcW w:w="6804" w:type="dxa"/>
          </w:tcPr>
          <w:p w:rsidR="00262932" w:rsidRPr="0046157F" w:rsidRDefault="00262932" w:rsidP="0046157F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Percepți</w:t>
            </w:r>
            <w:proofErr w:type="spellEnd"/>
            <w:r w:rsidRPr="0026293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atitudinii prin traducere relația între text tradus si cultura sursă</w:t>
            </w:r>
            <w:r w:rsidR="0046157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Perception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of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Attitude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Through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Translation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. The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Relationship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Between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Translated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Text and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Source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Culture</w:t>
            </w:r>
            <w:proofErr w:type="spellEnd"/>
          </w:p>
          <w:p w:rsidR="00262932" w:rsidRPr="00262932" w:rsidRDefault="00262932" w:rsidP="00262932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45" w:type="dxa"/>
            <w:vAlign w:val="center"/>
          </w:tcPr>
          <w:p w:rsidR="00262932" w:rsidRPr="00262932" w:rsidRDefault="000E54A1" w:rsidP="00F6588C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r w:rsidR="00F658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școli, licee, asociații culturale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</w:t>
            </w:r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</w:t>
            </w:r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Inspectoratul</w:t>
            </w:r>
            <w:proofErr w:type="spellEnd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F6588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Județean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Mali Izabella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Fidelitatea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traducerea în limba engleză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poveștiilor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Ioan Slavici selectate</w:t>
            </w:r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Faithfullness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English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Ioan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Slavici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’s Selected Tales</w:t>
            </w:r>
          </w:p>
        </w:tc>
        <w:tc>
          <w:tcPr>
            <w:tcW w:w="3145" w:type="dxa"/>
            <w:vAlign w:val="center"/>
          </w:tcPr>
          <w:p w:rsidR="00262932" w:rsidRPr="00262932" w:rsidRDefault="00F6588C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edituri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carte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copii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școli, licee, asociații culturale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Inspectoratul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Județean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Liceul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Romano-Catolic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Szent László,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Liceul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Lórántffy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Zsuzsanna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Marton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Timea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Luarea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notițe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consecutivă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Interviuri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detaliate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certificați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experimentați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Note-Taking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Consecutive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Interpreting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In-depth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interviews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with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Certified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and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Experienced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Interpreters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F6588C" w:rsidP="00F6588C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asociații culturale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agenții de turism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Angenția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turism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Remtours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Oradea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relații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externe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Eparhiei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Poszet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Cynthia-Regina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Analiza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evoluției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terminologiei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specialitate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gram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  <w:proofErr w:type="gram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promovării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sănătății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glosare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limbile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maghiară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egészségfejlesztési szakterminusok fejlődésének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vizsgálata angol és magyar nyelvű glosszáriumok alapján</w:t>
            </w:r>
          </w:p>
        </w:tc>
        <w:tc>
          <w:tcPr>
            <w:tcW w:w="3145" w:type="dxa"/>
            <w:vAlign w:val="center"/>
          </w:tcPr>
          <w:p w:rsidR="00262932" w:rsidRPr="00262932" w:rsidRDefault="00F6588C" w:rsidP="00F6588C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unități medicale,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asociații culturale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Hangja)</w:t>
            </w:r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2023-2024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3F4DF8" w:rsidRPr="00F6588C" w:rsidRDefault="003F4DF8" w:rsidP="003F4DF8">
            <w:pPr>
              <w:ind w:left="-1950" w:right="-108" w:firstLine="184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58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Tema propusă de mediul </w:t>
            </w:r>
          </w:p>
          <w:p w:rsidR="00262932" w:rsidRPr="00931C27" w:rsidRDefault="003F4DF8" w:rsidP="003F4D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58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socia</w:t>
            </w:r>
            <w:bookmarkStart w:id="0" w:name="_GoBack"/>
            <w:bookmarkEnd w:id="0"/>
            <w:r w:rsidRPr="00F658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l-economic (beneficiari</w:t>
            </w:r>
            <w:r>
              <w:rPr>
                <w:sz w:val="24"/>
                <w:szCs w:val="24"/>
                <w:lang w:val="ro-RO"/>
              </w:rPr>
              <w:t>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Borsi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 Vivien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Încercări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autohtonizare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exotizare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jocului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Fortnite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Honosítási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idegenítési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kísérletek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Fortnite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számítógépes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játék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terminológia-fordításában</w:t>
            </w:r>
            <w:proofErr w:type="spellEnd"/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Cseke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P.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Eszter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Provocările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text special din UE/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Egy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európai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uniós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szakszöveg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lefordításának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kihívásai</w:t>
            </w:r>
            <w:proofErr w:type="spellEnd"/>
          </w:p>
        </w:tc>
        <w:tc>
          <w:tcPr>
            <w:tcW w:w="3145" w:type="dxa"/>
          </w:tcPr>
          <w:p w:rsidR="00262932" w:rsidRPr="00262932" w:rsidRDefault="00F6588C" w:rsidP="00F6588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turism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Angenția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turism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Remtours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Oradea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relații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externe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Eparhiei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Fancsali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F.I.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Róbert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poezie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românească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Attila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Attila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román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versfordításai</w:t>
            </w:r>
            <w:proofErr w:type="spellEnd"/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culturale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literare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cărți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biblioteci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județene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Gagyi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N.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Viktória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Pauzele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disfluentele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exercițiile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simultană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viitorilor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(EN-HU)/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Szünetek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megakadásjelenségek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leendő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tolmácsok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szimultán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fordítási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gyakorlataiban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(EN-HU)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asociații culturale, agenții de turism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Angenția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turism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Remtours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Oradea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relații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externe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Eparhiei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Gombos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I.-J. Panna-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Noémi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Explicitarea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Audiovizuală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Subtitrărilor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Povești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Folclorul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Explicitáció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audiovizuális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fordításban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magyar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népmesék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angol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feliratainak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elemzése</w:t>
            </w:r>
            <w:proofErr w:type="spellEnd"/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școli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gimnazii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</w:t>
            </w:r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Inspectoratul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Județean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Liceul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Romano-Catolic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Szent László,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Liceul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Lórántffy</w:t>
            </w:r>
            <w:proofErr w:type="spellEnd"/>
            <w:r w:rsidR="002E7D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Zsuzsanna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Nemes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Roland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-Attila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Compararea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inteligență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artificială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neurală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automata: O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bazată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corpus 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/Comparing AI Translation to Neural Machine Translation: Corpus-based Analysis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Nyéki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Z.-I. Petra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Tulburările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fluență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ca „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întrerupători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ritm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interpretării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simultane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maghiară-engleză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/Speech Disfluencies as “flow-breakers”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hungarian-english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Simultaneous Interpreting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asociații culturale, agenții de turism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Angenția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turism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Remtours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Oradea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relații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externe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Eparhiei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Reformate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Szécsi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Subtitrare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vs.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dublare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localizările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video: O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comparație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impactul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acestora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/Subtitling vs. Dubbing in Video Game Localizations: A Comparison of Their Use and Impact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Voloncs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András-Péter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studiu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comparative al League of Legends, Ruination: A League of Legends Story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Arcane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/A Comparative Study of League of Legends, Ruination: A League of Legends Story and Arcane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VideoVil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Srl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Szigligeti)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Zajzon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romanului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Grief is a Thing with Feathers de Max Porter/The Hungarian Translation of Max Porter's Grief is a Thing with Feathers</w:t>
            </w:r>
          </w:p>
        </w:tc>
        <w:tc>
          <w:tcPr>
            <w:tcW w:w="3145" w:type="dxa"/>
          </w:tcPr>
          <w:p w:rsidR="00262932" w:rsidRPr="00262932" w:rsidRDefault="00F6588C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autorizați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agenții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culturale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literare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cărți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biblioteci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județene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(Vass Edina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Tünde PFA,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Teatrul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Szigligeti,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Ér Hangja)</w:t>
            </w:r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62932" w:rsidRPr="00262932" w:rsidSect="002629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7236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A1E80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399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32"/>
    <w:rsid w:val="000E54A1"/>
    <w:rsid w:val="00262932"/>
    <w:rsid w:val="002E7D7F"/>
    <w:rsid w:val="00396B03"/>
    <w:rsid w:val="003A3A56"/>
    <w:rsid w:val="003F4DF8"/>
    <w:rsid w:val="0046157F"/>
    <w:rsid w:val="00931C27"/>
    <w:rsid w:val="00B257DE"/>
    <w:rsid w:val="00BE6CD8"/>
    <w:rsid w:val="00C90245"/>
    <w:rsid w:val="00F6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paragraph" w:styleId="Heading1">
    <w:name w:val="heading 1"/>
    <w:basedOn w:val="Normal"/>
    <w:next w:val="Normal"/>
    <w:link w:val="Heading1Char"/>
    <w:qFormat/>
    <w:rsid w:val="003F4D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  <w:style w:type="character" w:customStyle="1" w:styleId="Heading1Char">
    <w:name w:val="Heading 1 Char"/>
    <w:basedOn w:val="DefaultParagraphFont"/>
    <w:link w:val="Heading1"/>
    <w:rsid w:val="003F4DF8"/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paragraph" w:styleId="Heading1">
    <w:name w:val="heading 1"/>
    <w:basedOn w:val="Normal"/>
    <w:next w:val="Normal"/>
    <w:link w:val="Heading1Char"/>
    <w:qFormat/>
    <w:rsid w:val="003F4D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  <w:style w:type="character" w:customStyle="1" w:styleId="Heading1Char">
    <w:name w:val="Heading 1 Char"/>
    <w:basedOn w:val="DefaultParagraphFont"/>
    <w:link w:val="Heading1"/>
    <w:rsid w:val="003F4DF8"/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Admin</cp:lastModifiedBy>
  <cp:revision>12</cp:revision>
  <dcterms:created xsi:type="dcterms:W3CDTF">2024-11-18T10:11:00Z</dcterms:created>
  <dcterms:modified xsi:type="dcterms:W3CDTF">2024-11-19T18:21:00Z</dcterms:modified>
</cp:coreProperties>
</file>